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Правовая основа борьбы с экстремизмом и терроризмом</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w:t>
      </w:r>
      <w:r>
        <w:rPr>
          <w:color w:val="000000"/>
          <w:sz w:val="32"/>
          <w:szCs w:val="32"/>
          <w:shd w:val="clear" w:color="auto" w:fill="FFFFFF"/>
        </w:rPr>
        <w:lastRenderedPageBreak/>
        <w:t>социального, расового, национального, религиозного или языкового превосходства.</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w:t>
      </w:r>
      <w:r>
        <w:rPr>
          <w:color w:val="000000"/>
          <w:sz w:val="32"/>
          <w:szCs w:val="32"/>
          <w:shd w:val="clear" w:color="auto" w:fill="FFFFFF"/>
        </w:rPr>
        <w:lastRenderedPageBreak/>
        <w:t>экстремистского сообщества, статья 282.2 – организация деятельности экстремистской организации, статья 357 – геноцид.</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lastRenderedPageBreak/>
        <w:t>Одним из ключевых направлений борьбы с экстремистскими и террористическими проявлениями в общественной среде выступает их профилактика.</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w:t>
      </w:r>
      <w:r>
        <w:rPr>
          <w:color w:val="000000"/>
          <w:sz w:val="32"/>
          <w:szCs w:val="32"/>
          <w:shd w:val="clear" w:color="auto" w:fill="FFFFFF"/>
        </w:rPr>
        <w:lastRenderedPageBreak/>
        <w:t>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Данные меры помогут молодым людям осознать, что государство заботится о них, и нет необходимости совершать противозаконные действия.</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Экстремистские ресурсы широко используют средства психологической войны, в том числе дезинформацию, запугивание, </w:t>
      </w:r>
      <w:r>
        <w:rPr>
          <w:color w:val="000000"/>
          <w:sz w:val="32"/>
          <w:szCs w:val="32"/>
          <w:shd w:val="clear" w:color="auto" w:fill="FFFFFF"/>
        </w:rPr>
        <w:lastRenderedPageBreak/>
        <w:t>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настоящее время во всемирной сети представлены практически все типы организаций, применяющих в своей деятельности экстремисткие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т.д.</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Наряду с использованием новейших информационных технологий экстремисткими и террористическими организациями в целях вербовки молодежи также задействуются и традиционные каналы социального взаимодействия.</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Значительным идеологическим ресурсом экстремистов, 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Для противодействия этим негативным тенденциям органы государственной власти, местного самоуправления с привлечением </w:t>
      </w:r>
      <w:r>
        <w:rPr>
          <w:color w:val="000000"/>
          <w:sz w:val="32"/>
          <w:szCs w:val="32"/>
          <w:shd w:val="clear" w:color="auto" w:fill="FFFFFF"/>
        </w:rPr>
        <w:lastRenderedPageBreak/>
        <w:t>возможности гражданского общества должны сосредоточить свои усилия на работе по следующим направлениям:</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w:t>
      </w:r>
      <w:r>
        <w:rPr>
          <w:b/>
          <w:bCs/>
          <w:color w:val="000000"/>
          <w:sz w:val="32"/>
          <w:szCs w:val="32"/>
          <w:shd w:val="clear" w:color="auto" w:fill="FFFFFF"/>
        </w:rPr>
        <w:t>информационно-аналитическое обеспечение противодействия терроризму и экстремизму</w:t>
      </w:r>
      <w:r>
        <w:rPr>
          <w:color w:val="000000"/>
          <w:sz w:val="32"/>
          <w:szCs w:val="32"/>
          <w:shd w:val="clear" w:color="auto" w:fill="FFFFFF"/>
        </w:rPr>
        <w:t>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w:t>
      </w:r>
      <w:r>
        <w:rPr>
          <w:b/>
          <w:bCs/>
          <w:color w:val="000000"/>
          <w:sz w:val="32"/>
          <w:szCs w:val="32"/>
          <w:shd w:val="clear" w:color="auto" w:fill="FFFFFF"/>
        </w:rPr>
        <w:t>пропагандистское обеспечение</w:t>
      </w:r>
      <w:r>
        <w:rPr>
          <w:color w:val="000000"/>
          <w:sz w:val="32"/>
          <w:szCs w:val="32"/>
          <w:shd w:val="clear" w:color="auto" w:fill="FFFFFF"/>
        </w:rPr>
        <w:t>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w:t>
      </w:r>
      <w:r>
        <w:rPr>
          <w:b/>
          <w:bCs/>
          <w:color w:val="000000"/>
          <w:sz w:val="32"/>
          <w:szCs w:val="32"/>
          <w:shd w:val="clear" w:color="auto" w:fill="FFFFFF"/>
        </w:rPr>
        <w:t>идеологическое</w:t>
      </w:r>
      <w:r>
        <w:rPr>
          <w:color w:val="000000"/>
          <w:sz w:val="32"/>
          <w:szCs w:val="32"/>
          <w:shd w:val="clear" w:color="auto" w:fill="FFFFFF"/>
        </w:rPr>
        <w:t> (формирование религиозной и межнациональной терпимости, патриотизма, здорового образа жизни, приоритетов общечеловеческих ценностей и т.д.);</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образовательное направление</w:t>
      </w:r>
      <w:r>
        <w:rPr>
          <w:color w:val="000000"/>
          <w:sz w:val="32"/>
          <w:szCs w:val="32"/>
          <w:shd w:val="clear" w:color="auto" w:fill="FFFFFF"/>
        </w:rPr>
        <w:t> (создание системы подготовки специалистов, в том числе из числа гражданских лиц, в области информационного противодействия терроризму).</w:t>
      </w:r>
    </w:p>
    <w:p w:rsidR="0017665C" w:rsidRDefault="0017665C" w:rsidP="0017665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Подобную работу следует вести наступательно, в том числе отстаивая интересы России в этой области на международном уровне.</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2"/>
    <w:rsid w:val="0017665C"/>
    <w:rsid w:val="005918A2"/>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9BAC4-5593-4CE6-9602-C17C13C5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6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2023-05-17T08:54:00Z</dcterms:created>
  <dcterms:modified xsi:type="dcterms:W3CDTF">2023-05-17T08:54:00Z</dcterms:modified>
</cp:coreProperties>
</file>