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b/>
          <w:bCs/>
          <w:color w:val="000000"/>
          <w:sz w:val="32"/>
          <w:szCs w:val="32"/>
          <w:shd w:val="clear" w:color="auto" w:fill="FFFFFF"/>
        </w:rPr>
        <w:t>Скажи экстремизму - НЕТ!</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Экстремизм сегодня все более грозно заявляет о себе, нарушая важ</w:t>
      </w:r>
      <w:r>
        <w:rPr>
          <w:color w:val="000000"/>
          <w:sz w:val="32"/>
          <w:szCs w:val="32"/>
          <w:shd w:val="clear" w:color="auto" w:fill="FFFFFF"/>
        </w:rPr>
        <w:softHyphen/>
        <w:t>нейшие права человека: на жизнь, свободу, безопасность. Он становится одной из важнейших проблем современного мира, что вызывает особые опасения в век высоких военных технологий, когда личность, становится способной направить весь арсенал современных достижений науки для ре</w:t>
      </w:r>
      <w:r>
        <w:rPr>
          <w:color w:val="000000"/>
          <w:sz w:val="32"/>
          <w:szCs w:val="32"/>
          <w:shd w:val="clear" w:color="auto" w:fill="FFFFFF"/>
        </w:rPr>
        <w:softHyphen/>
        <w:t>шения собственных целей и задач. Принятый 25.07.2002 Федеральный закон «О противодействии экстремистской деятельности» устранил ранее существовавший пробел в трактовке данного понятия.</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За осуществление экстремистской деятельности предусмотрена как административная, так и уголовная ответственность. Новым и наиболее интересным направлением противодействия экстремистской деятельности является борьба с распространением экстремистских материалов. Так, в соответствии со ст. 1 названного закона экстремистские материалы это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соответствии со ст. 13 закона,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 xml:space="preserve">Буквальное толкование названной нормы закона позволяет прийти к выводу, что труды руководителей национал-социалистской рабочей партии Германии и фашистской партии Италии напрямую </w:t>
      </w:r>
      <w:r>
        <w:rPr>
          <w:color w:val="000000"/>
          <w:sz w:val="32"/>
          <w:szCs w:val="32"/>
          <w:shd w:val="clear" w:color="auto" w:fill="FFFFFF"/>
        </w:rPr>
        <w:lastRenderedPageBreak/>
        <w:t>запрещены действующим законодательством и не требуют реализации механизма, предусмотренного ст. 13 ФЗ «О противодействии экстремистской деятельности».</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каждом случае, при принятии решения о признании информационного материала экстремистским судом оцениваются результаты проведенного социогуманитарного исследования содержания и направленности данных материалов», которые могут быть представлены не только в виде печатной, но и в виде аудио-визуальной продукции.</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Как было сказано выше, за распространение экстремистских материалов предусмотрена как уголовная, так и административная ответственность. Так, ст. 20.29 КоАП РФ предусматривает ответственность за массовое распространение информационных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Таким образом, обязательным условием действия названной статьи является признак массовости.</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Наибольшее количество деяний, связанных с распространением экстремистских материалов квалифицируется по ст. 282 УК РФ — «возбуждение ненависти либо вражды, а равно унижение человеческого достоинства». При проведении проверки и производстве расследования уголовных дел обязательному выяснению подлежит осведомленность лица о содержании распространяемых им экстремистских материалов, желании распространить содержащиеся в них идеи среди иных лиц.</w:t>
      </w:r>
    </w:p>
    <w:p w:rsidR="009B1CA3" w:rsidRDefault="009B1CA3" w:rsidP="009B1CA3">
      <w:pPr>
        <w:pStyle w:val="a3"/>
        <w:shd w:val="clear" w:color="auto" w:fill="FFFFFF"/>
        <w:spacing w:before="0" w:beforeAutospacing="0" w:after="200" w:afterAutospacing="0"/>
        <w:jc w:val="both"/>
        <w:rPr>
          <w:rFonts w:ascii="Arial" w:hAnsi="Arial" w:cs="Arial"/>
          <w:color w:val="333333"/>
          <w:sz w:val="21"/>
          <w:szCs w:val="21"/>
        </w:rPr>
      </w:pPr>
      <w:r>
        <w:rPr>
          <w:color w:val="000000"/>
          <w:sz w:val="32"/>
          <w:szCs w:val="32"/>
          <w:shd w:val="clear" w:color="auto" w:fill="FFFFFF"/>
        </w:rPr>
        <w:t>В том случае, когда в силу объективных обстоятельств лицо не было осведомлено о наличии вступившего в законную силу решения суда о признании распространяемого им материала экстремистским и не знакомо с его содержанием, говорить об уголовной ответственности в данном случае не представляется возможным.</w:t>
      </w:r>
    </w:p>
    <w:p w:rsidR="00BE31A2" w:rsidRDefault="00BE31A2">
      <w:bookmarkStart w:id="0" w:name="_GoBack"/>
      <w:bookmarkEnd w:id="0"/>
    </w:p>
    <w:sectPr w:rsidR="00BE31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CF"/>
    <w:rsid w:val="00997ACF"/>
    <w:rsid w:val="009B1CA3"/>
    <w:rsid w:val="00BE3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40DB9-B916-4F94-A69F-F5E4E49C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1C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28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Company/>
  <LinksUpToDate>false</LinksUpToDate>
  <CharactersWithSpaces>3740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2023-05-17T09:01:00Z</dcterms:created>
  <dcterms:modified xsi:type="dcterms:W3CDTF">2023-05-17T09:01:00Z</dcterms:modified>
</cp:coreProperties>
</file>